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14706</w:t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Toulouse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France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eastAsia="zh-CN"/>
        </w:rPr>
        <w:t>WF o</w:t>
      </w:r>
      <w:r>
        <w:rPr>
          <w:rFonts w:hint="eastAsia" w:ascii="Arial" w:hAnsi="Arial" w:cs="Arial"/>
          <w:sz w:val="22"/>
          <w:lang w:val="en-US" w:eastAsia="zh-CN"/>
        </w:rPr>
        <w:t>n UE RF requirements for NR NTN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8.28.6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 Corporation, Samsung</w:t>
      </w:r>
    </w:p>
    <w:p>
      <w:pPr>
        <w:tabs>
          <w:tab w:val="left" w:pos="1985"/>
        </w:tabs>
        <w:jc w:val="both"/>
        <w:rPr>
          <w:b/>
          <w:bCs/>
          <w:sz w:val="24"/>
          <w:szCs w:val="16"/>
          <w:lang w:val="en-US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val="en-US"/>
        </w:rPr>
        <w:t xml:space="preserve">Sub-topic </w:t>
      </w:r>
      <w:r>
        <w:rPr>
          <w:rFonts w:hint="eastAsia"/>
          <w:sz w:val="28"/>
          <w:szCs w:val="28"/>
          <w:highlight w:val="none"/>
          <w:lang w:val="en-US"/>
        </w:rPr>
        <w:t>1  UE types and antenna assumption for NTN UE</w:t>
      </w:r>
    </w:p>
    <w:p>
      <w:pPr>
        <w:rPr>
          <w:b/>
          <w:bCs/>
          <w:sz w:val="22"/>
          <w:szCs w:val="22"/>
          <w:highlight w:val="none"/>
          <w:lang w:eastAsia="zh-CN"/>
        </w:rPr>
      </w:pPr>
      <w:r>
        <w:rPr>
          <w:rFonts w:hint="eastAsia"/>
          <w:b/>
          <w:bCs/>
          <w:sz w:val="22"/>
          <w:szCs w:val="22"/>
          <w:highlight w:val="none"/>
          <w:lang w:eastAsia="zh-CN"/>
        </w:rPr>
        <w:t>Issue 1-1: Differentiate UE types from mobility perspective</w:t>
      </w:r>
    </w:p>
    <w:p>
      <w:pPr>
        <w:pStyle w:val="73"/>
        <w:ind w:firstLine="400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Agreement:</w:t>
      </w:r>
    </w:p>
    <w:p>
      <w:pPr>
        <w:pStyle w:val="73"/>
        <w:numPr>
          <w:ilvl w:val="0"/>
          <w:numId w:val="2"/>
        </w:numPr>
        <w:ind w:firstLine="400"/>
        <w:rPr>
          <w:rFonts w:eastAsiaTheme="minorEastAsia"/>
          <w:highlight w:val="none"/>
        </w:rPr>
      </w:pPr>
      <w:r>
        <w:rPr>
          <w:iCs/>
          <w:highlight w:val="none"/>
        </w:rPr>
        <w:t xml:space="preserve">Define two set of requirement for fixed and mobile VSAT </w:t>
      </w:r>
    </w:p>
    <w:p>
      <w:pPr>
        <w:pStyle w:val="73"/>
        <w:numPr>
          <w:ilvl w:val="1"/>
          <w:numId w:val="2"/>
        </w:numPr>
        <w:spacing w:line="259" w:lineRule="auto"/>
        <w:rPr>
          <w:rFonts w:eastAsiaTheme="minorEastAsia"/>
          <w:color w:val="auto"/>
          <w:highlight w:val="none"/>
        </w:rPr>
      </w:pPr>
      <w:r>
        <w:rPr>
          <w:rFonts w:eastAsiaTheme="minorEastAsia"/>
          <w:color w:val="auto"/>
          <w:highlight w:val="none"/>
        </w:rPr>
        <w:t>Differentiate the electronic and mechanical steering, but the requirements of electronic and mechanical steering can be applicable to both fixed and mobile VSAT</w:t>
      </w:r>
    </w:p>
    <w:p>
      <w:pPr>
        <w:pStyle w:val="73"/>
        <w:numPr>
          <w:ilvl w:val="1"/>
          <w:numId w:val="2"/>
        </w:numPr>
        <w:ind w:firstLine="400"/>
        <w:rPr>
          <w:rFonts w:eastAsiaTheme="minorEastAsia"/>
          <w:highlight w:val="none"/>
        </w:rPr>
      </w:pPr>
      <w:bookmarkStart w:id="0" w:name="_GoBack"/>
      <w:bookmarkEnd w:id="0"/>
      <w:r>
        <w:rPr>
          <w:iCs/>
          <w:highlight w:val="none"/>
        </w:rPr>
        <w:t>Strive to minimize the number of different requirements.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Issue 1-2: Phase antenna array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FFS</w:t>
      </w:r>
    </w:p>
    <w:p>
      <w:pPr>
        <w:rPr>
          <w:rFonts w:hint="eastAsia" w:eastAsiaTheme="minorEastAsia"/>
          <w:b/>
          <w:bCs/>
          <w:sz w:val="28"/>
          <w:szCs w:val="28"/>
          <w:highlight w:val="none"/>
          <w:lang w:val="en-US" w:eastAsia="zh-CN"/>
        </w:rPr>
      </w:pPr>
    </w:p>
    <w:p>
      <w:pPr>
        <w:pStyle w:val="2"/>
        <w:rPr>
          <w:b/>
          <w:bCs/>
          <w:sz w:val="22"/>
          <w:szCs w:val="22"/>
          <w:highlight w:val="none"/>
          <w:lang w:val="en-US" w:eastAsia="zh-CN"/>
        </w:rPr>
      </w:pPr>
      <w:r>
        <w:rPr>
          <w:sz w:val="28"/>
          <w:szCs w:val="28"/>
          <w:highlight w:val="none"/>
          <w:lang w:val="en-US"/>
        </w:rPr>
        <w:t xml:space="preserve">Sub-topic </w:t>
      </w:r>
      <w:r>
        <w:rPr>
          <w:rFonts w:hint="eastAsia"/>
          <w:sz w:val="28"/>
          <w:szCs w:val="28"/>
          <w:highlight w:val="none"/>
          <w:lang w:val="en-US"/>
        </w:rPr>
        <w:t>2  Noise figure for NTN UE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Issue 2-1:  Noise figure </w:t>
      </w:r>
    </w:p>
    <w:p>
      <w:pPr>
        <w:pStyle w:val="73"/>
        <w:ind w:firstLine="400"/>
        <w:rPr>
          <w:highlight w:val="none"/>
        </w:rPr>
      </w:pPr>
      <w:r>
        <w:rPr>
          <w:highlight w:val="none"/>
        </w:rPr>
        <w:t>Agreement:</w:t>
      </w:r>
    </w:p>
    <w:p>
      <w:pPr>
        <w:pStyle w:val="73"/>
        <w:numPr>
          <w:ilvl w:val="0"/>
          <w:numId w:val="3"/>
        </w:numPr>
        <w:ind w:firstLine="400"/>
        <w:rPr>
          <w:highlight w:val="none"/>
        </w:rPr>
      </w:pPr>
      <w:r>
        <w:rPr>
          <w:highlight w:val="none"/>
        </w:rPr>
        <w:t xml:space="preserve">Define two sets of requirements </w:t>
      </w:r>
    </w:p>
    <w:p>
      <w:pPr>
        <w:pStyle w:val="73"/>
        <w:numPr>
          <w:ilvl w:val="1"/>
          <w:numId w:val="3"/>
        </w:numPr>
        <w:ind w:firstLine="400"/>
        <w:rPr>
          <w:highlight w:val="none"/>
        </w:rPr>
      </w:pPr>
      <w:r>
        <w:rPr>
          <w:rFonts w:hint="eastAsia"/>
          <w:highlight w:val="none"/>
        </w:rPr>
        <w:t>Two set</w:t>
      </w:r>
      <w:r>
        <w:rPr>
          <w:highlight w:val="none"/>
        </w:rPr>
        <w:t>s</w:t>
      </w:r>
      <w:r>
        <w:rPr>
          <w:rFonts w:hint="eastAsia"/>
          <w:highlight w:val="none"/>
        </w:rPr>
        <w:t xml:space="preserve"> of noise figures</w:t>
      </w:r>
    </w:p>
    <w:p>
      <w:pPr>
        <w:pStyle w:val="73"/>
        <w:numPr>
          <w:ilvl w:val="2"/>
          <w:numId w:val="3"/>
        </w:numPr>
        <w:ind w:firstLine="400"/>
        <w:rPr>
          <w:highlight w:val="none"/>
        </w:rPr>
      </w:pPr>
      <w:r>
        <w:rPr>
          <w:highlight w:val="none"/>
        </w:rPr>
        <w:t>Set #1: 2.5dB for LEO and GEO</w:t>
      </w:r>
    </w:p>
    <w:p>
      <w:pPr>
        <w:pStyle w:val="73"/>
        <w:numPr>
          <w:ilvl w:val="2"/>
          <w:numId w:val="3"/>
        </w:numPr>
        <w:ind w:firstLine="400"/>
        <w:rPr>
          <w:highlight w:val="none"/>
        </w:rPr>
      </w:pPr>
      <w:r>
        <w:rPr>
          <w:highlight w:val="none"/>
        </w:rPr>
        <w:t>Set #2: 6dB only for LEO</w:t>
      </w:r>
    </w:p>
    <w:p>
      <w:pPr>
        <w:pStyle w:val="73"/>
        <w:numPr>
          <w:ilvl w:val="1"/>
          <w:numId w:val="3"/>
        </w:numPr>
        <w:ind w:firstLine="400"/>
        <w:rPr>
          <w:b/>
          <w:bCs/>
          <w:sz w:val="22"/>
          <w:szCs w:val="22"/>
          <w:highlight w:val="none"/>
          <w:lang w:val="en-US" w:eastAsia="zh-CN"/>
        </w:rPr>
      </w:pPr>
      <w:r>
        <w:rPr>
          <w:highlight w:val="none"/>
        </w:rPr>
        <w:t>[Apply to test based on UE declaration for G/T which is used to derive EIS requirements].</w:t>
      </w:r>
    </w:p>
    <w:p>
      <w:pPr>
        <w:pStyle w:val="2"/>
        <w:rPr>
          <w:sz w:val="28"/>
          <w:szCs w:val="28"/>
          <w:highlight w:val="none"/>
          <w:lang w:val="en-US"/>
        </w:rPr>
      </w:pPr>
      <w:r>
        <w:rPr>
          <w:rFonts w:hint="eastAsia"/>
          <w:sz w:val="28"/>
          <w:szCs w:val="28"/>
          <w:highlight w:val="none"/>
          <w:lang w:val="en-US"/>
        </w:rPr>
        <w:t>Sub-topic 3  RF requirements for NTN UE in Ka-band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ko-KR"/>
        </w:rPr>
        <w:t xml:space="preserve">Issue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3-1: Beam pointing/accuracy related requirements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Agreement:</w:t>
      </w: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mobile VSAT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eastAsia="fr-FR"/>
        </w:rPr>
      </w:pPr>
      <w:r>
        <w:rPr>
          <w:rFonts w:hint="eastAsia" w:eastAsia="宋体"/>
          <w:highlight w:val="none"/>
          <w:lang w:eastAsia="fr-FR"/>
        </w:rPr>
        <w:t>RAN4 to specify NTN UE VSAT pointing accuracy based on manufacturer declaration. RAN4 to reuse the explanation from EN 303 978: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ind w:left="1600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“The applicant shall declare the peak pointing accuracy (</w:t>
      </w:r>
      <w:r>
        <w:rPr>
          <w:sz w:val="18"/>
          <w:szCs w:val="24"/>
          <w:highlight w:val="none"/>
        </w:rPr>
        <w:sym w:font="Symbol" w:char="F064"/>
      </w:r>
      <w:r>
        <w:rPr>
          <w:sz w:val="18"/>
          <w:szCs w:val="24"/>
          <w:highlight w:val="none"/>
        </w:rPr>
        <w:sym w:font="Symbol" w:char="F066"/>
      </w:r>
      <w:r>
        <w:rPr>
          <w:sz w:val="18"/>
          <w:szCs w:val="24"/>
          <w:highlight w:val="none"/>
        </w:rPr>
        <w:t>) and the associated statistical basis.</w:t>
      </w:r>
    </w:p>
    <w:p>
      <w:pPr>
        <w:keepNext/>
        <w:ind w:left="1600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The antenna shall maintain the declared peak pointing accuracy (</w:t>
      </w:r>
      <w:r>
        <w:rPr>
          <w:sz w:val="18"/>
          <w:szCs w:val="24"/>
          <w:highlight w:val="none"/>
        </w:rPr>
        <w:sym w:font="Symbol" w:char="F064"/>
      </w:r>
      <w:r>
        <w:rPr>
          <w:sz w:val="18"/>
          <w:szCs w:val="24"/>
          <w:highlight w:val="none"/>
        </w:rPr>
        <w:sym w:font="Symbol" w:char="F066"/>
      </w:r>
      <w:r>
        <w:rPr>
          <w:sz w:val="18"/>
          <w:szCs w:val="24"/>
          <w:highlight w:val="none"/>
        </w:rPr>
        <w:t>), such that the off-axis EIRP emission density pattern projected onto the geostationary arc remains within the mask specified in clause [Total EIRP density specification] when shifted by an angle of ±(</w:t>
      </w:r>
      <w:r>
        <w:rPr>
          <w:sz w:val="18"/>
          <w:szCs w:val="24"/>
          <w:highlight w:val="none"/>
        </w:rPr>
        <w:sym w:font="Symbol" w:char="F064"/>
      </w:r>
      <w:r>
        <w:rPr>
          <w:sz w:val="18"/>
          <w:szCs w:val="24"/>
          <w:highlight w:val="none"/>
        </w:rPr>
        <w:sym w:font="Symbol" w:char="F066"/>
      </w:r>
      <w:r>
        <w:rPr>
          <w:sz w:val="18"/>
          <w:szCs w:val="24"/>
          <w:highlight w:val="none"/>
        </w:rPr>
        <w:t>°), taking into account the following factors:</w:t>
      </w:r>
    </w:p>
    <w:p>
      <w:pPr>
        <w:pStyle w:val="104"/>
        <w:spacing w:line="240" w:lineRule="auto"/>
        <w:ind w:left="1884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the worst case operational environmental conditions;</w:t>
      </w:r>
    </w:p>
    <w:p>
      <w:pPr>
        <w:pStyle w:val="104"/>
        <w:spacing w:line="240" w:lineRule="auto"/>
        <w:ind w:left="1884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maximum ESOMP dynamics; and</w:t>
      </w:r>
    </w:p>
    <w:p>
      <w:pPr>
        <w:pStyle w:val="104"/>
        <w:spacing w:line="240" w:lineRule="auto"/>
        <w:ind w:left="1884" w:leftChars="800"/>
        <w:rPr>
          <w:sz w:val="18"/>
          <w:szCs w:val="24"/>
          <w:highlight w:val="none"/>
        </w:rPr>
      </w:pPr>
      <w:r>
        <w:rPr>
          <w:sz w:val="18"/>
          <w:szCs w:val="24"/>
          <w:highlight w:val="none"/>
        </w:rPr>
        <w:t>the range of latitude, longitude and altitude relative to the satellite orbital position.”</w:t>
      </w:r>
    </w:p>
    <w:p>
      <w:pPr>
        <w:pStyle w:val="73"/>
        <w:ind w:left="200" w:leftChars="100" w:firstLine="400"/>
        <w:rPr>
          <w:highlight w:val="none"/>
          <w:lang w:val="en-US" w:eastAsia="fr-FR"/>
        </w:rPr>
      </w:pPr>
      <w:r>
        <w:rPr>
          <w:rFonts w:hint="eastAsia"/>
          <w:highlight w:val="none"/>
          <w:lang w:val="en-US" w:eastAsia="zh-CN"/>
        </w:rPr>
        <w:t>For fixed VSAT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eastAsia="fr-FR"/>
        </w:rPr>
      </w:pPr>
      <w:r>
        <w:rPr>
          <w:rFonts w:hint="eastAsia" w:eastAsia="宋体"/>
          <w:highlight w:val="none"/>
          <w:lang w:eastAsia="fr-FR"/>
        </w:rPr>
        <w:t>Proposal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eastAsia="fr-FR"/>
        </w:rPr>
        <w:t>3: RAN4 should specify antenna accuracy requirement for fixed VSAT, based on ETSI EN 301 360.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Issue 3-2: on-axis and off-axis EIRP requirements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Agreement:</w:t>
      </w: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mobile VSAT: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t>RAN4 to use ITU recommendation S.524 and/or EN 303 978 for radiated off-axis requirement.</w:t>
      </w:r>
      <w:r>
        <w:rPr>
          <w:rFonts w:hint="eastAsia" w:eastAsia="宋体"/>
          <w:highlight w:val="none"/>
          <w:lang w:val="en-US" w:eastAsia="zh-CN"/>
        </w:rPr>
        <w:t xml:space="preserve">  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eastAsia="fr-FR"/>
        </w:rPr>
      </w:pPr>
      <w:r>
        <w:rPr>
          <w:rFonts w:hint="eastAsia" w:eastAsia="宋体"/>
          <w:highlight w:val="none"/>
          <w:lang w:eastAsia="zh-CN"/>
        </w:rPr>
        <w:t>RAN4 to consider the following (ITU recommendation S.524-9) as requirement: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tabs>
          <w:tab w:val="left" w:pos="794"/>
          <w:tab w:val="left" w:pos="1191"/>
          <w:tab w:val="left" w:pos="1588"/>
          <w:tab w:val="left" w:pos="1985"/>
        </w:tabs>
        <w:spacing w:before="120" w:after="0" w:line="240" w:lineRule="auto"/>
        <w:ind w:left="1200" w:leftChars="600"/>
        <w:jc w:val="both"/>
        <w:rPr>
          <w:sz w:val="21"/>
          <w:highlight w:val="none"/>
        </w:rPr>
      </w:pPr>
      <w:r>
        <w:rPr>
          <w:sz w:val="16"/>
          <w:highlight w:val="none"/>
        </w:rPr>
        <w:t>“</w:t>
      </w:r>
      <w:r>
        <w:rPr>
          <w:b/>
          <w:sz w:val="21"/>
          <w:highlight w:val="none"/>
        </w:rPr>
        <w:t>4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 xml:space="preserve">that earth stations operating in GSO networks in the FSS transmitting in the 27.5-30 GHz frequency band be designed in such a manner that at any angle, 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, which is 2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 xml:space="preserve"> or more off the main lobe axis of the earth station antenna, the e.i.r.p. density in any direction within 3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 xml:space="preserve"> of the GSO should not exceed the following values:</w:t>
      </w:r>
    </w:p>
    <w:p>
      <w:pPr>
        <w:tabs>
          <w:tab w:val="left" w:pos="1191"/>
          <w:tab w:val="left" w:pos="4500"/>
          <w:tab w:val="left" w:pos="8789"/>
        </w:tabs>
        <w:spacing w:before="80" w:after="0" w:line="240" w:lineRule="auto"/>
        <w:ind w:left="1994" w:leftChars="600" w:hanging="794"/>
        <w:jc w:val="both"/>
        <w:rPr>
          <w:sz w:val="21"/>
          <w:highlight w:val="none"/>
        </w:rPr>
      </w:pPr>
      <w:r>
        <w:rPr>
          <w:i/>
          <w:sz w:val="21"/>
          <w:highlight w:val="none"/>
        </w:rPr>
        <w:tab/>
      </w:r>
      <w:r>
        <w:rPr>
          <w:i/>
          <w:sz w:val="21"/>
          <w:highlight w:val="none"/>
        </w:rPr>
        <w:t>Angle off-axis</w:t>
      </w:r>
      <w:r>
        <w:rPr>
          <w:sz w:val="21"/>
          <w:highlight w:val="none"/>
        </w:rPr>
        <w:tab/>
      </w:r>
      <w:r>
        <w:rPr>
          <w:i/>
          <w:sz w:val="21"/>
          <w:highlight w:val="none"/>
        </w:rPr>
        <w:t>Maximum e.i.r.p. per 40 kHz</w:t>
      </w:r>
    </w:p>
    <w:p>
      <w:pPr>
        <w:tabs>
          <w:tab w:val="left" w:pos="794"/>
          <w:tab w:val="left" w:pos="1418"/>
          <w:tab w:val="left" w:pos="1985"/>
          <w:tab w:val="decimal" w:pos="2495"/>
          <w:tab w:val="left" w:pos="4500"/>
        </w:tabs>
        <w:spacing w:before="80" w:after="0" w:line="240" w:lineRule="auto"/>
        <w:ind w:left="1994" w:leftChars="600" w:hanging="794"/>
        <w:jc w:val="both"/>
        <w:rPr>
          <w:sz w:val="21"/>
          <w:highlight w:val="none"/>
        </w:rPr>
      </w:pPr>
      <w:r>
        <w:rPr>
          <w:color w:val="FFFFFF"/>
          <w:sz w:val="21"/>
          <w:highlight w:val="none"/>
        </w:rPr>
        <w:tab/>
      </w:r>
      <w:r>
        <w:rPr>
          <w:color w:val="FFFFFF"/>
          <w:sz w:val="21"/>
          <w:highlight w:val="none"/>
          <w:lang w:val="fr-FR"/>
        </w:rPr>
        <w:t> </w:t>
      </w:r>
      <w:r>
        <w:rPr>
          <w:sz w:val="21"/>
          <w:highlight w:val="none"/>
        </w:rPr>
        <w:t>2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t>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</w:t>
      </w:r>
      <w:r>
        <w:rPr>
          <w:color w:val="FFFFFF"/>
          <w:sz w:val="21"/>
          <w:highlight w:val="none"/>
        </w:rPr>
        <w:tab/>
      </w:r>
      <w:r>
        <w:rPr>
          <w:sz w:val="21"/>
          <w:highlight w:val="none"/>
        </w:rPr>
        <w:t>7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 xml:space="preserve">(19 – 25 log 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) dB(W/40 kHz)</w:t>
      </w:r>
    </w:p>
    <w:p>
      <w:pPr>
        <w:tabs>
          <w:tab w:val="left" w:pos="794"/>
          <w:tab w:val="left" w:pos="1418"/>
          <w:tab w:val="left" w:pos="1985"/>
          <w:tab w:val="decimal" w:pos="2495"/>
          <w:tab w:val="left" w:pos="4500"/>
        </w:tabs>
        <w:spacing w:before="80" w:after="0" w:line="240" w:lineRule="auto"/>
        <w:ind w:left="1994" w:leftChars="600" w:hanging="794"/>
        <w:jc w:val="both"/>
        <w:rPr>
          <w:sz w:val="21"/>
          <w:highlight w:val="none"/>
        </w:rPr>
      </w:pPr>
      <w:r>
        <w:rPr>
          <w:color w:val="FFFFFF"/>
          <w:sz w:val="21"/>
          <w:highlight w:val="none"/>
        </w:rPr>
        <w:t>0</w:t>
      </w:r>
      <w:r>
        <w:rPr>
          <w:color w:val="FFFFFF"/>
          <w:sz w:val="21"/>
          <w:highlight w:val="none"/>
        </w:rPr>
        <w:tab/>
      </w:r>
      <w:r>
        <w:rPr>
          <w:color w:val="FFFFFF"/>
          <w:sz w:val="21"/>
          <w:highlight w:val="none"/>
          <w:lang w:val="fr-FR"/>
        </w:rPr>
        <w:t> </w:t>
      </w:r>
      <w:r>
        <w:rPr>
          <w:sz w:val="21"/>
          <w:highlight w:val="none"/>
        </w:rPr>
        <w:t>7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rFonts w:ascii="Symbol" w:hAnsi="Symbol"/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t>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</w:t>
      </w:r>
      <w:r>
        <w:rPr>
          <w:color w:val="FFFFFF"/>
          <w:sz w:val="21"/>
          <w:highlight w:val="none"/>
        </w:rPr>
        <w:tab/>
      </w:r>
      <w:r>
        <w:rPr>
          <w:sz w:val="21"/>
          <w:highlight w:val="none"/>
        </w:rPr>
        <w:t>9.2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>–2 dB(W/40 kHz)</w:t>
      </w:r>
    </w:p>
    <w:p>
      <w:pPr>
        <w:tabs>
          <w:tab w:val="left" w:pos="794"/>
          <w:tab w:val="left" w:pos="1418"/>
          <w:tab w:val="left" w:pos="1985"/>
          <w:tab w:val="decimal" w:pos="2495"/>
          <w:tab w:val="left" w:pos="4500"/>
        </w:tabs>
        <w:spacing w:before="80" w:after="0" w:line="240" w:lineRule="auto"/>
        <w:ind w:left="1994" w:leftChars="600" w:hanging="794"/>
        <w:jc w:val="both"/>
        <w:rPr>
          <w:sz w:val="21"/>
          <w:highlight w:val="none"/>
        </w:rPr>
      </w:pPr>
      <w:r>
        <w:rPr>
          <w:color w:val="FFFFFF"/>
          <w:sz w:val="21"/>
          <w:highlight w:val="none"/>
        </w:rPr>
        <w:t>0</w:t>
      </w:r>
      <w:r>
        <w:rPr>
          <w:color w:val="FFFFFF"/>
          <w:sz w:val="21"/>
          <w:highlight w:val="none"/>
        </w:rPr>
        <w:tab/>
      </w:r>
      <w:r>
        <w:rPr>
          <w:color w:val="FFFFFF"/>
          <w:sz w:val="21"/>
          <w:highlight w:val="none"/>
          <w:lang w:val="fr-FR"/>
        </w:rPr>
        <w:t> </w:t>
      </w:r>
      <w:r>
        <w:rPr>
          <w:sz w:val="21"/>
          <w:highlight w:val="none"/>
        </w:rPr>
        <w:t>9.2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t>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</w:t>
      </w:r>
      <w:r>
        <w:rPr>
          <w:color w:val="FFFFFF"/>
          <w:sz w:val="21"/>
          <w:highlight w:val="none"/>
        </w:rPr>
        <w:tab/>
      </w:r>
      <w:r>
        <w:rPr>
          <w:sz w:val="21"/>
          <w:highlight w:val="none"/>
        </w:rPr>
        <w:t>48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rFonts w:ascii="Symbol" w:hAnsi="Symbol"/>
          <w:sz w:val="21"/>
          <w:highlight w:val="none"/>
        </w:rPr>
        <w:tab/>
      </w:r>
      <w:r>
        <w:rPr>
          <w:sz w:val="21"/>
          <w:highlight w:val="none"/>
        </w:rPr>
        <w:t xml:space="preserve">(22 – 25 log 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) dB(W/40 kHz)</w:t>
      </w:r>
    </w:p>
    <w:p>
      <w:pPr>
        <w:tabs>
          <w:tab w:val="left" w:pos="794"/>
          <w:tab w:val="left" w:pos="1418"/>
          <w:tab w:val="left" w:pos="1985"/>
          <w:tab w:val="decimal" w:pos="2495"/>
          <w:tab w:val="left" w:pos="4500"/>
        </w:tabs>
        <w:spacing w:before="80" w:after="0" w:line="240" w:lineRule="auto"/>
        <w:ind w:left="1994" w:leftChars="600" w:hanging="794"/>
        <w:jc w:val="both"/>
        <w:rPr>
          <w:sz w:val="21"/>
          <w:highlight w:val="none"/>
        </w:rPr>
      </w:pPr>
      <w:r>
        <w:rPr>
          <w:sz w:val="21"/>
          <w:highlight w:val="none"/>
        </w:rPr>
        <w:tab/>
      </w:r>
      <w:r>
        <w:rPr>
          <w:sz w:val="21"/>
          <w:highlight w:val="none"/>
        </w:rPr>
        <w:t>48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t>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</w:t>
      </w:r>
      <w:r>
        <w:rPr>
          <w:sz w:val="21"/>
          <w:highlight w:val="none"/>
        </w:rPr>
        <w:t>  </w:t>
      </w:r>
      <w:r>
        <w:rPr>
          <w:rFonts w:ascii="Symbol" w:hAnsi="Symbol"/>
          <w:sz w:val="21"/>
          <w:highlight w:val="none"/>
          <w:lang w:val="fr-FR"/>
        </w:rPr>
        <w:t>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>180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>–10 dB(W/40 kHz).</w:t>
      </w:r>
    </w:p>
    <w:p>
      <w:pPr>
        <w:ind w:left="1200" w:leftChars="600"/>
        <w:rPr>
          <w:sz w:val="21"/>
          <w:highlight w:val="none"/>
        </w:rPr>
      </w:pPr>
      <w:r>
        <w:rPr>
          <w:sz w:val="21"/>
          <w:highlight w:val="none"/>
        </w:rPr>
        <w:t>For any direction in the region outside 3° of the GSO, the above levels may be exceeded by no more than 3 dB.</w:t>
      </w:r>
    </w:p>
    <w:p>
      <w:pPr>
        <w:ind w:left="1200" w:leftChars="600"/>
        <w:rPr>
          <w:rFonts w:ascii="Arial" w:hAnsi="Arial" w:cs="Arial"/>
          <w:sz w:val="16"/>
          <w:highlight w:val="none"/>
        </w:rPr>
      </w:pPr>
      <w:r>
        <w:rPr>
          <w:sz w:val="21"/>
          <w:highlight w:val="none"/>
        </w:rPr>
        <w:t>”</w:t>
      </w:r>
    </w:p>
    <w:p>
      <w:pPr>
        <w:ind w:left="1200" w:leftChars="600"/>
        <w:jc w:val="both"/>
        <w:rPr>
          <w:rFonts w:ascii="Arial" w:hAnsi="Arial" w:cs="Arial"/>
          <w:sz w:val="16"/>
          <w:highlight w:val="none"/>
        </w:rPr>
      </w:pPr>
      <w:r>
        <w:rPr>
          <w:rFonts w:ascii="Arial" w:hAnsi="Arial" w:cs="Arial"/>
          <w:sz w:val="16"/>
          <w:highlight w:val="none"/>
        </w:rPr>
        <w:t>Together with other relevant notes for instance:</w:t>
      </w:r>
    </w:p>
    <w:p>
      <w:pPr>
        <w:ind w:left="1200" w:leftChars="600"/>
        <w:rPr>
          <w:sz w:val="21"/>
          <w:highlight w:val="none"/>
        </w:rPr>
      </w:pPr>
      <w:r>
        <w:rPr>
          <w:sz w:val="16"/>
          <w:highlight w:val="none"/>
        </w:rPr>
        <w:t>“</w:t>
      </w:r>
      <w:r>
        <w:rPr>
          <w:sz w:val="21"/>
          <w:highlight w:val="none"/>
        </w:rPr>
        <w:t>NOTE </w:t>
      </w:r>
      <w:r>
        <w:rPr>
          <w:caps/>
          <w:sz w:val="21"/>
          <w:highlight w:val="none"/>
        </w:rPr>
        <w:t>10</w:t>
      </w:r>
      <w:r>
        <w:rPr>
          <w:sz w:val="21"/>
          <w:highlight w:val="none"/>
        </w:rPr>
        <w:t xml:space="preserve"> – FSS earth stations operating in the 27.5-30 GHz band, which have lower elevation angles to the GSO will require higher e.i.r.p. levels relative to the same terminals at higher elevation angles to achieve the same power flux-densities (pfds) at the GSO due to the combined effect of increased distance and atmospheric absorption. Earth stations with low elevation angles may exceed the levels of </w:t>
      </w:r>
      <w:r>
        <w:rPr>
          <w:i/>
          <w:sz w:val="21"/>
          <w:highlight w:val="none"/>
        </w:rPr>
        <w:t>recommends </w:t>
      </w:r>
      <w:r>
        <w:rPr>
          <w:sz w:val="21"/>
          <w:highlight w:val="none"/>
        </w:rPr>
        <w:t>4 by the following amount (see Annex 2):</w:t>
      </w:r>
    </w:p>
    <w:p>
      <w:pPr>
        <w:tabs>
          <w:tab w:val="left" w:pos="794"/>
          <w:tab w:val="left" w:pos="1191"/>
          <w:tab w:val="left" w:pos="1588"/>
          <w:tab w:val="left" w:pos="1985"/>
          <w:tab w:val="left" w:pos="4253"/>
        </w:tabs>
        <w:spacing w:before="80" w:after="0" w:line="240" w:lineRule="auto"/>
        <w:ind w:left="1994" w:leftChars="600" w:hanging="794"/>
        <w:jc w:val="both"/>
        <w:rPr>
          <w:i/>
          <w:iCs/>
          <w:sz w:val="21"/>
          <w:highlight w:val="none"/>
        </w:rPr>
      </w:pPr>
      <w:r>
        <w:rPr>
          <w:sz w:val="21"/>
          <w:highlight w:val="none"/>
        </w:rPr>
        <w:tab/>
      </w:r>
      <w:r>
        <w:rPr>
          <w:i/>
          <w:sz w:val="21"/>
          <w:highlight w:val="none"/>
        </w:rPr>
        <w:t>Elevation angle to GSO (</w:t>
      </w:r>
      <w:r>
        <w:rPr>
          <w:rFonts w:ascii="Symbol" w:hAnsi="Symbol"/>
          <w:sz w:val="21"/>
          <w:highlight w:val="none"/>
          <w:lang w:val="fr-FR"/>
        </w:rPr>
        <w:t></w:t>
      </w:r>
      <w:r>
        <w:rPr>
          <w:i/>
          <w:sz w:val="21"/>
          <w:highlight w:val="none"/>
        </w:rPr>
        <w:t>)</w:t>
      </w:r>
      <w:r>
        <w:rPr>
          <w:i/>
          <w:sz w:val="21"/>
          <w:highlight w:val="none"/>
        </w:rPr>
        <w:tab/>
      </w:r>
      <w:r>
        <w:rPr>
          <w:i/>
          <w:sz w:val="21"/>
          <w:highlight w:val="none"/>
        </w:rPr>
        <w:t>Increase in e.i.r.p. density (dB)</w:t>
      </w:r>
    </w:p>
    <w:p>
      <w:pPr>
        <w:tabs>
          <w:tab w:val="left" w:pos="794"/>
          <w:tab w:val="left" w:pos="1134"/>
          <w:tab w:val="left" w:pos="1418"/>
          <w:tab w:val="left" w:pos="1701"/>
          <w:tab w:val="right" w:pos="2268"/>
          <w:tab w:val="left" w:pos="4253"/>
          <w:tab w:val="left" w:pos="4395"/>
        </w:tabs>
        <w:spacing w:before="80" w:after="0" w:line="240" w:lineRule="auto"/>
        <w:ind w:left="1994" w:leftChars="600" w:hanging="794"/>
        <w:jc w:val="both"/>
        <w:rPr>
          <w:sz w:val="21"/>
          <w:highlight w:val="none"/>
        </w:rPr>
      </w:pPr>
      <w:r>
        <w:rPr>
          <w:sz w:val="21"/>
          <w:highlight w:val="none"/>
        </w:rPr>
        <w:tab/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sym w:font="Symbol" w:char="F065"/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sym w:font="Symbol" w:char="F0A3"/>
      </w:r>
      <w:r>
        <w:rPr>
          <w:rFonts w:ascii="Symbol" w:hAnsi="Symbol"/>
          <w:sz w:val="21"/>
          <w:highlight w:val="none"/>
        </w:rPr>
        <w:tab/>
      </w:r>
      <w:r>
        <w:rPr>
          <w:sz w:val="21"/>
          <w:highlight w:val="none"/>
        </w:rPr>
        <w:t>5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>2.5</w:t>
      </w:r>
    </w:p>
    <w:p>
      <w:pPr>
        <w:tabs>
          <w:tab w:val="left" w:pos="794"/>
          <w:tab w:val="left" w:pos="1134"/>
          <w:tab w:val="left" w:pos="1191"/>
          <w:tab w:val="left" w:pos="1418"/>
          <w:tab w:val="left" w:pos="1701"/>
          <w:tab w:val="right" w:pos="2268"/>
          <w:tab w:val="left" w:pos="4253"/>
          <w:tab w:val="left" w:pos="4395"/>
        </w:tabs>
        <w:spacing w:before="80" w:after="0" w:line="240" w:lineRule="auto"/>
        <w:ind w:left="1994" w:leftChars="600" w:hanging="794"/>
        <w:jc w:val="both"/>
        <w:rPr>
          <w:rFonts w:ascii="Symbol" w:hAnsi="Symbol"/>
          <w:sz w:val="21"/>
          <w:highlight w:val="none"/>
        </w:rPr>
      </w:pPr>
      <w:r>
        <w:rPr>
          <w:sz w:val="21"/>
          <w:highlight w:val="none"/>
        </w:rPr>
        <w:tab/>
      </w:r>
      <w:r>
        <w:rPr>
          <w:sz w:val="21"/>
          <w:highlight w:val="none"/>
        </w:rPr>
        <w:t>5°</w:t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t></w:t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sym w:font="Symbol" w:char="F065"/>
      </w:r>
      <w:r>
        <w:rPr>
          <w:sz w:val="21"/>
          <w:highlight w:val="none"/>
        </w:rPr>
        <w:tab/>
      </w:r>
      <w:r>
        <w:rPr>
          <w:rFonts w:ascii="Symbol" w:hAnsi="Symbol"/>
          <w:sz w:val="21"/>
          <w:highlight w:val="none"/>
          <w:lang w:val="fr-FR"/>
        </w:rPr>
        <w:sym w:font="Symbol" w:char="F0A3"/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>30</w:t>
      </w:r>
      <w:r>
        <w:rPr>
          <w:rFonts w:ascii="Symbol" w:hAnsi="Symbol"/>
          <w:sz w:val="21"/>
          <w:highlight w:val="none"/>
          <w:lang w:val="fr-FR"/>
        </w:rPr>
        <w:t></w:t>
      </w:r>
      <w:r>
        <w:rPr>
          <w:sz w:val="21"/>
          <w:highlight w:val="none"/>
        </w:rPr>
        <w:tab/>
      </w:r>
      <w:r>
        <w:rPr>
          <w:sz w:val="21"/>
          <w:highlight w:val="none"/>
        </w:rPr>
        <w:t xml:space="preserve">3 – 0.1 </w:t>
      </w:r>
      <w:r>
        <w:rPr>
          <w:rFonts w:ascii="Symbol" w:hAnsi="Symbol"/>
          <w:sz w:val="21"/>
          <w:highlight w:val="none"/>
          <w:lang w:val="fr-FR"/>
        </w:rPr>
        <w:sym w:font="Symbol" w:char="F065"/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For </w:t>
      </w:r>
      <w:r>
        <w:rPr>
          <w:highlight w:val="none"/>
          <w:lang w:val="en-US" w:eastAsia="zh-CN"/>
        </w:rPr>
        <w:t>fixed</w:t>
      </w:r>
      <w:r>
        <w:rPr>
          <w:rFonts w:hint="eastAsia"/>
          <w:highlight w:val="none"/>
          <w:lang w:val="en-US" w:eastAsia="zh-CN"/>
        </w:rPr>
        <w:t xml:space="preserve"> VSAT: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FFS</w:t>
      </w: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For fixed and mobile VSAT: FCC regulation should be further studied.</w:t>
      </w: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It’s encouraged for the companies to contribute the regulations and requirements from other interested regions/countries.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ko-KR"/>
        </w:rPr>
        <w:t xml:space="preserve">Issue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3-3: on-axis and Off-axis spurious requirements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Agreement:</w:t>
      </w:r>
    </w:p>
    <w:p>
      <w:pPr>
        <w:pStyle w:val="73"/>
        <w:ind w:left="200" w:leftChars="100" w:firstLine="400"/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mobile VSAT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 xml:space="preserve"> RAN4 shall specify on-axis and off-axis spurious requirements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 Reuse</w:t>
      </w:r>
      <w:r>
        <w:rPr>
          <w:rFonts w:hint="eastAsia" w:eastAsia="宋体"/>
          <w:highlight w:val="none"/>
          <w:lang w:eastAsia="zh-CN"/>
        </w:rPr>
        <w:t xml:space="preserve"> the Off-axis and On-axis spurious emission requirement in EN 303 978</w:t>
      </w:r>
    </w:p>
    <w:p>
      <w:pPr>
        <w:pStyle w:val="73"/>
        <w:ind w:left="200" w:leftChars="100"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fixed VSAT:</w:t>
      </w:r>
    </w:p>
    <w:p>
      <w:pPr>
        <w:pStyle w:val="73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FFS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ko-KR"/>
        </w:rPr>
        <w:t xml:space="preserve">Issue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3-4: Cessation of emissions and related self-monitoring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FFS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ko-KR"/>
        </w:rPr>
        <w:t xml:space="preserve">Issue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3-5: beam switching related requirement</w:t>
      </w:r>
    </w:p>
    <w:p>
      <w:pPr>
        <w:pStyle w:val="73"/>
        <w:ind w:firstLine="4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FFS</w:t>
      </w:r>
    </w:p>
    <w:p>
      <w:pPr>
        <w:rPr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/>
          <w:b/>
          <w:bCs/>
          <w:sz w:val="22"/>
          <w:szCs w:val="22"/>
          <w:highlight w:val="none"/>
          <w:lang w:val="en-US" w:eastAsia="ko-KR"/>
        </w:rPr>
        <w:t xml:space="preserve">Issue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3-6: Others</w:t>
      </w:r>
    </w:p>
    <w:p>
      <w:pPr>
        <w:pStyle w:val="73"/>
        <w:ind w:firstLine="400"/>
        <w:rPr>
          <w:lang w:val="en-US" w:eastAsia="zh-CN"/>
        </w:rPr>
      </w:pPr>
      <w:r>
        <w:rPr>
          <w:rFonts w:hint="eastAsia"/>
          <w:lang w:val="en-US" w:eastAsia="zh-CN"/>
        </w:rPr>
        <w:t>FFS</w:t>
      </w:r>
    </w:p>
    <w:p>
      <w:pPr>
        <w:rPr>
          <w:b/>
          <w:bCs/>
          <w:sz w:val="22"/>
          <w:szCs w:val="22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1AAC"/>
    <w:multiLevelType w:val="multilevel"/>
    <w:tmpl w:val="0A951AA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6E25561B"/>
    <w:multiLevelType w:val="multilevel"/>
    <w:tmpl w:val="6E25561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FE9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AEB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3F3"/>
    <w:rsid w:val="00430784"/>
    <w:rsid w:val="004310AB"/>
    <w:rsid w:val="004319C2"/>
    <w:rsid w:val="00431F7A"/>
    <w:rsid w:val="00432764"/>
    <w:rsid w:val="00433050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4CF0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C72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402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9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5BA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9B8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452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41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231384"/>
    <w:rsid w:val="015F1E8A"/>
    <w:rsid w:val="02DF0D72"/>
    <w:rsid w:val="03872BB5"/>
    <w:rsid w:val="04944F3C"/>
    <w:rsid w:val="056D3392"/>
    <w:rsid w:val="05B37309"/>
    <w:rsid w:val="08590844"/>
    <w:rsid w:val="088239B7"/>
    <w:rsid w:val="09992A92"/>
    <w:rsid w:val="09C55F39"/>
    <w:rsid w:val="09F01F7B"/>
    <w:rsid w:val="0A0D0EE8"/>
    <w:rsid w:val="0A143EB0"/>
    <w:rsid w:val="0B83519A"/>
    <w:rsid w:val="0C91771F"/>
    <w:rsid w:val="0D625184"/>
    <w:rsid w:val="10835E82"/>
    <w:rsid w:val="117774BC"/>
    <w:rsid w:val="128E206D"/>
    <w:rsid w:val="140F4A2D"/>
    <w:rsid w:val="142211B8"/>
    <w:rsid w:val="15247167"/>
    <w:rsid w:val="15861B73"/>
    <w:rsid w:val="16BA445A"/>
    <w:rsid w:val="16BD6710"/>
    <w:rsid w:val="176F76B1"/>
    <w:rsid w:val="18B85C6A"/>
    <w:rsid w:val="1A3B54F6"/>
    <w:rsid w:val="1A6F1319"/>
    <w:rsid w:val="1C114FCE"/>
    <w:rsid w:val="1D7227CD"/>
    <w:rsid w:val="1DD31F09"/>
    <w:rsid w:val="1FB63711"/>
    <w:rsid w:val="20A16ADA"/>
    <w:rsid w:val="21E67501"/>
    <w:rsid w:val="22C60A6F"/>
    <w:rsid w:val="23653CB4"/>
    <w:rsid w:val="239F0429"/>
    <w:rsid w:val="24B604BF"/>
    <w:rsid w:val="273F26B0"/>
    <w:rsid w:val="2986691A"/>
    <w:rsid w:val="2D9E219D"/>
    <w:rsid w:val="2DEE5437"/>
    <w:rsid w:val="30DE310F"/>
    <w:rsid w:val="326921A3"/>
    <w:rsid w:val="32DE0FE7"/>
    <w:rsid w:val="330C33AF"/>
    <w:rsid w:val="34F446F5"/>
    <w:rsid w:val="35037086"/>
    <w:rsid w:val="37CE0C1F"/>
    <w:rsid w:val="393D3E8C"/>
    <w:rsid w:val="3A3A6BC5"/>
    <w:rsid w:val="3ADC062C"/>
    <w:rsid w:val="3C9D2187"/>
    <w:rsid w:val="3D2C3C8C"/>
    <w:rsid w:val="3D335D01"/>
    <w:rsid w:val="3E441435"/>
    <w:rsid w:val="407C3634"/>
    <w:rsid w:val="41A22C86"/>
    <w:rsid w:val="42355A33"/>
    <w:rsid w:val="43300DC7"/>
    <w:rsid w:val="45515097"/>
    <w:rsid w:val="47A67DB7"/>
    <w:rsid w:val="48FB2E25"/>
    <w:rsid w:val="497A7B61"/>
    <w:rsid w:val="49E310C9"/>
    <w:rsid w:val="4A43765E"/>
    <w:rsid w:val="4B0E5A0B"/>
    <w:rsid w:val="4D4477E4"/>
    <w:rsid w:val="4F526A47"/>
    <w:rsid w:val="4FAE26EB"/>
    <w:rsid w:val="4FC22FB2"/>
    <w:rsid w:val="50035BDD"/>
    <w:rsid w:val="50C6633D"/>
    <w:rsid w:val="51F92CB0"/>
    <w:rsid w:val="524C2EDE"/>
    <w:rsid w:val="52902333"/>
    <w:rsid w:val="52DB1C7B"/>
    <w:rsid w:val="554E4897"/>
    <w:rsid w:val="55FE73AD"/>
    <w:rsid w:val="562C02E9"/>
    <w:rsid w:val="589F152D"/>
    <w:rsid w:val="59312314"/>
    <w:rsid w:val="5C292807"/>
    <w:rsid w:val="5E772309"/>
    <w:rsid w:val="5E85713C"/>
    <w:rsid w:val="5FBD3C5C"/>
    <w:rsid w:val="5FF9365C"/>
    <w:rsid w:val="60E172BA"/>
    <w:rsid w:val="61811054"/>
    <w:rsid w:val="619471E6"/>
    <w:rsid w:val="61A6793E"/>
    <w:rsid w:val="626E5943"/>
    <w:rsid w:val="62DC14BD"/>
    <w:rsid w:val="639C3276"/>
    <w:rsid w:val="63C9158E"/>
    <w:rsid w:val="647B3689"/>
    <w:rsid w:val="6607389A"/>
    <w:rsid w:val="66300A03"/>
    <w:rsid w:val="67591E1E"/>
    <w:rsid w:val="685C1C44"/>
    <w:rsid w:val="69AC5C52"/>
    <w:rsid w:val="6CC6613D"/>
    <w:rsid w:val="6CFC18AB"/>
    <w:rsid w:val="6F6F2180"/>
    <w:rsid w:val="71FA311B"/>
    <w:rsid w:val="74657A7D"/>
    <w:rsid w:val="74D97074"/>
    <w:rsid w:val="75817214"/>
    <w:rsid w:val="76625156"/>
    <w:rsid w:val="76ED3EB9"/>
    <w:rsid w:val="773F6604"/>
    <w:rsid w:val="77B04C2E"/>
    <w:rsid w:val="79705690"/>
    <w:rsid w:val="7D0F5134"/>
    <w:rsid w:val="7D2216E4"/>
    <w:rsid w:val="7E21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1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semiHidden/>
    <w:unhideWhenUsed/>
    <w:qFormat/>
    <w:uiPriority w:val="99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2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1"/>
    <w:qFormat/>
    <w:uiPriority w:val="0"/>
    <w:pPr>
      <w:jc w:val="center"/>
    </w:pPr>
    <w:rPr>
      <w:i/>
    </w:rPr>
  </w:style>
  <w:style w:type="paragraph" w:styleId="36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annotation reference"/>
    <w:basedOn w:val="46"/>
    <w:semiHidden/>
    <w:unhideWhenUsed/>
    <w:qFormat/>
    <w:uiPriority w:val="99"/>
    <w:rPr>
      <w:sz w:val="16"/>
      <w:szCs w:val="16"/>
    </w:rPr>
  </w:style>
  <w:style w:type="character" w:styleId="48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9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50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51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52">
    <w:name w:val="标题 4 字符"/>
    <w:link w:val="5"/>
    <w:qFormat/>
    <w:uiPriority w:val="0"/>
    <w:rPr>
      <w:rFonts w:ascii="Arial" w:hAnsi="Arial" w:eastAsia="Times New Roman"/>
      <w:sz w:val="24"/>
    </w:rPr>
  </w:style>
  <w:style w:type="character" w:customStyle="1" w:styleId="53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54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55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56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57">
    <w:name w:val="标题 9 字符"/>
    <w:link w:val="11"/>
    <w:qFormat/>
    <w:uiPriority w:val="0"/>
    <w:rPr>
      <w:rFonts w:ascii="Arial" w:hAnsi="Arial" w:eastAsia="Times New Roman"/>
      <w:sz w:val="36"/>
    </w:rPr>
  </w:style>
  <w:style w:type="paragraph" w:customStyle="1" w:styleId="58">
    <w:name w:val="TAC"/>
    <w:basedOn w:val="59"/>
    <w:link w:val="60"/>
    <w:qFormat/>
    <w:uiPriority w:val="0"/>
    <w:pPr>
      <w:jc w:val="center"/>
    </w:pPr>
  </w:style>
  <w:style w:type="paragraph" w:customStyle="1" w:styleId="59">
    <w:name w:val="TAL"/>
    <w:basedOn w:val="1"/>
    <w:link w:val="6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C Char"/>
    <w:link w:val="58"/>
    <w:qFormat/>
    <w:uiPriority w:val="0"/>
    <w:rPr>
      <w:rFonts w:ascii="Arial" w:hAnsi="Arial" w:eastAsia="Times New Roman"/>
      <w:sz w:val="18"/>
    </w:rPr>
  </w:style>
  <w:style w:type="character" w:customStyle="1" w:styleId="61">
    <w:name w:val="文档结构图 字符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2">
    <w:name w:val="批注框文本 字符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3">
    <w:name w:val="TAL Car"/>
    <w:link w:val="59"/>
    <w:qFormat/>
    <w:locked/>
    <w:uiPriority w:val="0"/>
    <w:rPr>
      <w:rFonts w:ascii="Arial" w:hAnsi="Arial" w:eastAsia="Times New Roman"/>
      <w:sz w:val="18"/>
    </w:rPr>
  </w:style>
  <w:style w:type="paragraph" w:customStyle="1" w:styleId="64">
    <w:name w:val="TAH"/>
    <w:basedOn w:val="58"/>
    <w:link w:val="68"/>
    <w:qFormat/>
    <w:uiPriority w:val="0"/>
    <w:rPr>
      <w:b/>
    </w:rPr>
  </w:style>
  <w:style w:type="character" w:customStyle="1" w:styleId="65">
    <w:name w:val="TH Char"/>
    <w:link w:val="66"/>
    <w:qFormat/>
    <w:locked/>
    <w:uiPriority w:val="0"/>
    <w:rPr>
      <w:rFonts w:ascii="Arial" w:hAnsi="Arial" w:eastAsia="Times New Roman"/>
      <w:b/>
    </w:rPr>
  </w:style>
  <w:style w:type="paragraph" w:customStyle="1" w:styleId="66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TAN"/>
    <w:basedOn w:val="59"/>
    <w:link w:val="69"/>
    <w:qFormat/>
    <w:uiPriority w:val="0"/>
    <w:pPr>
      <w:ind w:left="851" w:hanging="851"/>
    </w:pPr>
  </w:style>
  <w:style w:type="character" w:customStyle="1" w:styleId="68">
    <w:name w:val="TAH Car"/>
    <w:link w:val="64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TAN Char"/>
    <w:link w:val="67"/>
    <w:qFormat/>
    <w:uiPriority w:val="0"/>
    <w:rPr>
      <w:rFonts w:ascii="Arial" w:hAnsi="Arial" w:eastAsia="Times New Roman"/>
      <w:sz w:val="18"/>
    </w:rPr>
  </w:style>
  <w:style w:type="character" w:customStyle="1" w:styleId="70">
    <w:name w:val="页眉 字符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1">
    <w:name w:val="页脚 字符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2">
    <w:name w:val="日期 字符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3">
    <w:name w:val="List Paragraph"/>
    <w:basedOn w:val="1"/>
    <w:qFormat/>
    <w:uiPriority w:val="34"/>
    <w:pPr>
      <w:ind w:firstLine="420" w:firstLineChars="200"/>
    </w:pPr>
  </w:style>
  <w:style w:type="character" w:customStyle="1" w:styleId="74">
    <w:name w:val="texhtml"/>
    <w:basedOn w:val="46"/>
    <w:qFormat/>
    <w:uiPriority w:val="0"/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TT"/>
    <w:basedOn w:val="2"/>
    <w:next w:val="1"/>
    <w:qFormat/>
    <w:uiPriority w:val="0"/>
    <w:pPr>
      <w:outlineLvl w:val="9"/>
    </w:pPr>
  </w:style>
  <w:style w:type="character" w:customStyle="1" w:styleId="78">
    <w:name w:val="脚注文本 字符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9">
    <w:name w:val="TF"/>
    <w:basedOn w:val="66"/>
    <w:qFormat/>
    <w:uiPriority w:val="0"/>
    <w:pPr>
      <w:keepNext w:val="0"/>
      <w:spacing w:before="0" w:after="240"/>
    </w:pPr>
  </w:style>
  <w:style w:type="paragraph" w:customStyle="1" w:styleId="80">
    <w:name w:val="NO"/>
    <w:basedOn w:val="1"/>
    <w:qFormat/>
    <w:uiPriority w:val="0"/>
    <w:pPr>
      <w:keepLines/>
      <w:ind w:left="1135" w:hanging="851"/>
    </w:pPr>
  </w:style>
  <w:style w:type="paragraph" w:customStyle="1" w:styleId="81">
    <w:name w:val="EX"/>
    <w:basedOn w:val="1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9">
    <w:name w:val="TAR"/>
    <w:basedOn w:val="59"/>
    <w:qFormat/>
    <w:uiPriority w:val="0"/>
    <w:pPr>
      <w:jc w:val="right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Editor's Note"/>
    <w:basedOn w:val="80"/>
    <w:qFormat/>
    <w:uiPriority w:val="0"/>
    <w:rPr>
      <w:color w:val="FF0000"/>
    </w:rPr>
  </w:style>
  <w:style w:type="paragraph" w:customStyle="1" w:styleId="98">
    <w:name w:val="B1"/>
    <w:basedOn w:val="14"/>
    <w:qFormat/>
    <w:uiPriority w:val="0"/>
  </w:style>
  <w:style w:type="paragraph" w:customStyle="1" w:styleId="99">
    <w:name w:val="B2"/>
    <w:basedOn w:val="13"/>
    <w:qFormat/>
    <w:uiPriority w:val="0"/>
  </w:style>
  <w:style w:type="paragraph" w:customStyle="1" w:styleId="100">
    <w:name w:val="B3"/>
    <w:basedOn w:val="12"/>
    <w:qFormat/>
    <w:uiPriority w:val="0"/>
  </w:style>
  <w:style w:type="paragraph" w:customStyle="1" w:styleId="101">
    <w:name w:val="B4"/>
    <w:basedOn w:val="39"/>
    <w:qFormat/>
    <w:uiPriority w:val="0"/>
  </w:style>
  <w:style w:type="paragraph" w:customStyle="1" w:styleId="102">
    <w:name w:val="B5"/>
    <w:basedOn w:val="38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B1+"/>
    <w:basedOn w:val="98"/>
    <w:qFormat/>
    <w:uiPriority w:val="0"/>
    <w:pPr>
      <w:numPr>
        <w:ilvl w:val="0"/>
        <w:numId w:val="1"/>
      </w:numPr>
    </w:pPr>
  </w:style>
  <w:style w:type="paragraph" w:customStyle="1" w:styleId="105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3</Pages>
  <Words>602</Words>
  <Characters>3434</Characters>
  <Lines>28</Lines>
  <Paragraphs>8</Paragraphs>
  <TotalTime>0</TotalTime>
  <ScaleCrop>false</ScaleCrop>
  <LinksUpToDate>false</LinksUpToDate>
  <CharactersWithSpaces>4028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2023-08-25T07:23:00Z</dcterms:created>
  <dc:creator>Dai Xizeng</dc:creator>
  <cp:lastModifiedBy>ZTE,Fei Xue</cp:lastModifiedBy>
  <dcterms:modified xsi:type="dcterms:W3CDTF">2023-08-25T11:12:51Z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2052-11.8.2.8875</vt:lpwstr>
  </property>
</Properties>
</file>